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40" w:rsidRDefault="00CE2800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</w:t>
      </w:r>
    </w:p>
    <w:p w:rsidR="00B77640" w:rsidRDefault="00CE2800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«ХАРКІВСЬКА СПЕЦІАЛЬНА ШКОЛА № 12» </w:t>
      </w:r>
    </w:p>
    <w:p w:rsidR="00B77640" w:rsidRDefault="00CE2800">
      <w:pPr>
        <w:pStyle w:val="2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:rsidR="00B77640" w:rsidRDefault="00B77640">
      <w:pPr>
        <w:rPr>
          <w:b/>
          <w:szCs w:val="28"/>
          <w:lang w:val="uk-UA"/>
        </w:rPr>
      </w:pPr>
    </w:p>
    <w:p w:rsidR="00B77640" w:rsidRDefault="00CE280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НАКАЗ</w:t>
      </w:r>
    </w:p>
    <w:p w:rsidR="00B77640" w:rsidRDefault="00B77640">
      <w:pPr>
        <w:jc w:val="center"/>
        <w:rPr>
          <w:b/>
          <w:szCs w:val="28"/>
          <w:lang w:val="uk-UA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207"/>
        <w:gridCol w:w="3194"/>
        <w:gridCol w:w="3171"/>
      </w:tblGrid>
      <w:tr w:rsidR="00B77640">
        <w:tc>
          <w:tcPr>
            <w:tcW w:w="3207" w:type="dxa"/>
          </w:tcPr>
          <w:p w:rsidR="00B77640" w:rsidRDefault="00580155" w:rsidP="00580155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31</w:t>
            </w:r>
            <w:r w:rsidR="00CE2800">
              <w:rPr>
                <w:b/>
                <w:szCs w:val="28"/>
                <w:lang w:val="uk-UA"/>
              </w:rPr>
              <w:t>.05.2024</w:t>
            </w:r>
          </w:p>
        </w:tc>
        <w:tc>
          <w:tcPr>
            <w:tcW w:w="3194" w:type="dxa"/>
          </w:tcPr>
          <w:p w:rsidR="00B77640" w:rsidRDefault="00CE2800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Харків</w:t>
            </w:r>
          </w:p>
        </w:tc>
        <w:tc>
          <w:tcPr>
            <w:tcW w:w="3171" w:type="dxa"/>
          </w:tcPr>
          <w:p w:rsidR="00B77640" w:rsidRDefault="00CE2800">
            <w:pPr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№ 4</w:t>
            </w:r>
            <w:r w:rsidR="00580155">
              <w:rPr>
                <w:b/>
                <w:szCs w:val="28"/>
                <w:lang w:val="uk-UA"/>
              </w:rPr>
              <w:t>3</w:t>
            </w:r>
            <w:r>
              <w:rPr>
                <w:b/>
                <w:szCs w:val="28"/>
                <w:lang w:val="uk-UA"/>
              </w:rPr>
              <w:t>-о</w:t>
            </w:r>
          </w:p>
          <w:p w:rsidR="00B77640" w:rsidRDefault="00B77640">
            <w:pPr>
              <w:jc w:val="right"/>
              <w:rPr>
                <w:b/>
                <w:szCs w:val="28"/>
                <w:lang w:val="uk-UA"/>
              </w:rPr>
            </w:pPr>
          </w:p>
        </w:tc>
      </w:tr>
    </w:tbl>
    <w:p w:rsidR="00B77640" w:rsidRDefault="00CE2800">
      <w:pPr>
        <w:tabs>
          <w:tab w:val="left" w:pos="-6237"/>
        </w:tabs>
        <w:spacing w:line="360" w:lineRule="auto"/>
        <w:ind w:right="5102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проведення із здобувачами освіти інструктажів з безпеки життєдіяльності напередодні літніх канікул та оздоровчої кампанії</w:t>
      </w:r>
    </w:p>
    <w:p w:rsidR="00B77640" w:rsidRDefault="00CE2800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 виконання </w:t>
      </w:r>
      <w:r>
        <w:rPr>
          <w:lang w:val="uk-UA"/>
        </w:rPr>
        <w:t>пункту 13 розділу V Положення про порядок проведення</w:t>
      </w:r>
    </w:p>
    <w:p w:rsidR="00B77640" w:rsidRDefault="00CE2800">
      <w:pPr>
        <w:jc w:val="both"/>
        <w:rPr>
          <w:lang w:val="uk-UA"/>
        </w:rPr>
      </w:pPr>
      <w:r>
        <w:rPr>
          <w:lang w:val="uk-UA"/>
        </w:rPr>
        <w:t>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України, затве</w:t>
      </w:r>
      <w:r>
        <w:rPr>
          <w:lang w:val="uk-UA"/>
        </w:rPr>
        <w:t>рдженого наказом Міністерства освіти і науки України від 18.04.2006 № 304 (в редакції наказу Міністерства освіти і науки України від 22.11.2017 №1514), зареєстрованого в Міністерстві юстиції України від 14.12.2017 за № 1512/31380, з урахуванням відкритої ш</w:t>
      </w:r>
      <w:r>
        <w:rPr>
          <w:lang w:val="uk-UA"/>
        </w:rPr>
        <w:t>ирокомасштабної збройної агресії російської федерації, з метою посилення контролю за збереженням життя й здоров'я здобувачів освіти, здійснення заходів з охорони праці, безпеки життєдіяльності, цивільного захисту, попередження надзвичайних ситуацій у зв'яз</w:t>
      </w:r>
      <w:r>
        <w:rPr>
          <w:lang w:val="uk-UA"/>
        </w:rPr>
        <w:t xml:space="preserve">ку </w:t>
      </w:r>
      <w:proofErr w:type="spellStart"/>
      <w:r>
        <w:rPr>
          <w:lang w:val="uk-UA"/>
        </w:rPr>
        <w:t>iз</w:t>
      </w:r>
      <w:proofErr w:type="spellEnd"/>
      <w:r>
        <w:rPr>
          <w:lang w:val="uk-UA"/>
        </w:rPr>
        <w:t xml:space="preserve"> закінченням навчального року та перед  початком літніх канікул,</w:t>
      </w:r>
    </w:p>
    <w:p w:rsidR="00B77640" w:rsidRDefault="00B77640">
      <w:pPr>
        <w:ind w:firstLine="709"/>
        <w:jc w:val="both"/>
        <w:rPr>
          <w:szCs w:val="28"/>
          <w:lang w:val="uk-UA"/>
        </w:rPr>
      </w:pPr>
    </w:p>
    <w:p w:rsidR="00B77640" w:rsidRDefault="00CE2800">
      <w:pPr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 А К А З У Ю:</w:t>
      </w:r>
    </w:p>
    <w:p w:rsidR="00B77640" w:rsidRDefault="00CE2800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1.Заступнику директора</w:t>
      </w: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з виховної роботи </w:t>
      </w:r>
      <w:proofErr w:type="spellStart"/>
      <w:r>
        <w:rPr>
          <w:szCs w:val="28"/>
          <w:lang w:val="uk-UA"/>
        </w:rPr>
        <w:t>Семененко</w:t>
      </w:r>
      <w:proofErr w:type="spellEnd"/>
      <w:r>
        <w:rPr>
          <w:szCs w:val="28"/>
          <w:lang w:val="uk-UA"/>
        </w:rPr>
        <w:t xml:space="preserve"> О.В.: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>1.1. Організувати проведення інструктажів із здобувачами освіти з питань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безпеки </w:t>
      </w:r>
      <w:r>
        <w:rPr>
          <w:szCs w:val="28"/>
          <w:lang w:val="uk-UA"/>
        </w:rPr>
        <w:t>життєдіяльності перед початком літніх канікул (зокрема з 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правил пожежної безпеки, електробезпеки, безп</w:t>
      </w:r>
      <w:r>
        <w:rPr>
          <w:szCs w:val="28"/>
          <w:lang w:val="uk-UA"/>
        </w:rPr>
        <w:t>еки дорожнього руху, профілактики шлунково-кишкових захворювань, правил поведінки в громадських місцях, а також поводження з незнайомими людьми та предметами, користування  громадським транспортом, попередження травмування на об’єктах залізничної інфрастру</w:t>
      </w:r>
      <w:r>
        <w:rPr>
          <w:szCs w:val="28"/>
          <w:lang w:val="uk-UA"/>
        </w:rPr>
        <w:t>ктури, правилах поводження на річках і водоймах тощо) за відповідними інструкціями з реєстрацією у класних журналах та журналах БЖД.</w:t>
      </w:r>
    </w:p>
    <w:p w:rsidR="00B77640" w:rsidRDefault="00CE2800">
      <w:pPr>
        <w:pStyle w:val="af6"/>
        <w:spacing w:after="69"/>
        <w:ind w:left="0"/>
        <w:jc w:val="right"/>
        <w:rPr>
          <w:szCs w:val="28"/>
          <w:lang w:val="uk-UA"/>
        </w:rPr>
      </w:pPr>
      <w:r>
        <w:rPr>
          <w:szCs w:val="28"/>
          <w:lang w:val="uk-UA"/>
        </w:rPr>
        <w:t>31.05.2024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Класним керівникам та вихователям </w:t>
      </w:r>
      <w:r>
        <w:rPr>
          <w:color w:val="000000"/>
          <w:szCs w:val="28"/>
          <w:lang w:val="uk-UA"/>
        </w:rPr>
        <w:t>КЗ «ХСШ № 12» ХОР: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2.1. Провести роз’яснювальну роботу серед здо</w:t>
      </w:r>
      <w:r>
        <w:rPr>
          <w:szCs w:val="28"/>
          <w:lang w:val="uk-UA"/>
        </w:rPr>
        <w:t>бувачів освіти щодо правил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>поведінки в умовах підвищення температури повітря, попередження випадків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перегрівання на сонці, порядку надання </w:t>
      </w:r>
      <w:proofErr w:type="spellStart"/>
      <w:r>
        <w:rPr>
          <w:szCs w:val="28"/>
          <w:lang w:val="uk-UA"/>
        </w:rPr>
        <w:t>домедичної</w:t>
      </w:r>
      <w:proofErr w:type="spellEnd"/>
      <w:r>
        <w:rPr>
          <w:szCs w:val="28"/>
          <w:lang w:val="uk-UA"/>
        </w:rPr>
        <w:t xml:space="preserve"> допомоги постраждалим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>внаслідок нещасних випадків, а також безумовного дотримання обмежень за для запобіга</w:t>
      </w:r>
      <w:r>
        <w:rPr>
          <w:szCs w:val="28"/>
          <w:lang w:val="uk-UA"/>
        </w:rPr>
        <w:t xml:space="preserve">ння </w:t>
      </w:r>
      <w:r>
        <w:rPr>
          <w:szCs w:val="28"/>
          <w:lang w:val="uk-UA"/>
        </w:rPr>
        <w:t>недопущення виникнення епідеміологічних ускладнень з вірусного гепатиту А</w:t>
      </w:r>
      <w:r>
        <w:rPr>
          <w:szCs w:val="28"/>
          <w:lang w:val="uk-UA"/>
        </w:rPr>
        <w:t xml:space="preserve">; </w:t>
      </w:r>
    </w:p>
    <w:p w:rsidR="00B77640" w:rsidRDefault="00CE2800">
      <w:pPr>
        <w:spacing w:after="69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31.05.2024</w:t>
      </w:r>
    </w:p>
    <w:p w:rsidR="00B77640" w:rsidRDefault="00CE2800">
      <w:pPr>
        <w:spacing w:after="69"/>
        <w:jc w:val="both"/>
        <w:rPr>
          <w:lang w:val="uk-UA"/>
        </w:rPr>
      </w:pPr>
      <w:r>
        <w:rPr>
          <w:szCs w:val="28"/>
          <w:lang w:val="uk-UA"/>
        </w:rPr>
        <w:t>2.2.</w:t>
      </w:r>
      <w:r>
        <w:rPr>
          <w:lang w:val="uk-UA"/>
        </w:rPr>
        <w:t xml:space="preserve"> Провести роботу серед здобувачів освіти первинні інструктажі з безпеки життєдіяльності учасників освітнього процесу щодо безпеки життєдіяльності під </w:t>
      </w:r>
      <w:r>
        <w:rPr>
          <w:lang w:val="uk-UA"/>
        </w:rPr>
        <w:t xml:space="preserve">час </w:t>
      </w:r>
      <w:proofErr w:type="spellStart"/>
      <w:r>
        <w:rPr>
          <w:lang w:val="uk-UA"/>
        </w:rPr>
        <w:t>літн</w:t>
      </w:r>
      <w:r>
        <w:t>ix</w:t>
      </w:r>
      <w:proofErr w:type="spellEnd"/>
      <w:r>
        <w:rPr>
          <w:lang w:val="uk-UA"/>
        </w:rPr>
        <w:t xml:space="preserve"> канікул з питань дотримання правил пожежної безпеки, електробезпеки, безпеки дорожнього руху, профілактики шлунково-кишкових захворювань, правил поведінки в громадських місцях, а також поводження з незнайомими людьми та предметами, користування </w:t>
      </w:r>
      <w:r>
        <w:rPr>
          <w:lang w:val="uk-UA"/>
        </w:rPr>
        <w:t xml:space="preserve">громадським транспортом, попередження травмування на об'єктах залізничної інфраструктури, правилах поводження на річках </w:t>
      </w:r>
      <w:r>
        <w:t>i</w:t>
      </w:r>
      <w:r>
        <w:rPr>
          <w:lang w:val="uk-UA"/>
        </w:rPr>
        <w:t xml:space="preserve"> водоймах тощо з реєстрацією у класних журналах та журналах БЖД; </w:t>
      </w:r>
    </w:p>
    <w:p w:rsidR="00B77640" w:rsidRDefault="00CE2800">
      <w:pPr>
        <w:spacing w:after="69"/>
        <w:jc w:val="right"/>
        <w:rPr>
          <w:szCs w:val="28"/>
          <w:lang w:val="uk-UA"/>
        </w:rPr>
      </w:pPr>
      <w:r>
        <w:rPr>
          <w:lang w:val="uk-UA"/>
        </w:rPr>
        <w:t>31.05.2024</w:t>
      </w:r>
    </w:p>
    <w:p w:rsidR="00B77640" w:rsidRDefault="00CE2800">
      <w:pPr>
        <w:spacing w:after="69"/>
        <w:jc w:val="both"/>
        <w:rPr>
          <w:szCs w:val="28"/>
          <w:lang w:val="uk-UA"/>
        </w:rPr>
      </w:pPr>
      <w:r>
        <w:rPr>
          <w:szCs w:val="28"/>
          <w:lang w:val="uk-UA"/>
        </w:rPr>
        <w:t>2.3. Поінформувати учасників освітнього процесу</w:t>
      </w:r>
      <w:r>
        <w:rPr>
          <w:szCs w:val="28"/>
          <w:lang w:val="uk-UA"/>
        </w:rPr>
        <w:t xml:space="preserve"> про заборони та ризики відвідування лісових масивів та територій, які можуть бути замінованими або наближені до районів бойових дій, довести рекомендації Державної служби України з надзвичайних ситуацій стосовно дій населення в умовах надзвичайних ситуаці</w:t>
      </w:r>
      <w:r>
        <w:rPr>
          <w:szCs w:val="28"/>
          <w:lang w:val="uk-UA"/>
        </w:rPr>
        <w:t>й воєнного характеру в тому числі поводження з вибухонебезпечними та підозрілими предметами.</w:t>
      </w:r>
      <w:r>
        <w:rPr>
          <w:lang w:val="uk-UA"/>
        </w:rPr>
        <w:t xml:space="preserve"> </w:t>
      </w:r>
      <w:r>
        <w:rPr>
          <w:szCs w:val="28"/>
          <w:lang w:val="uk-UA"/>
        </w:rPr>
        <w:t>Перевірити знання порядку дій у разі оголошення сигналу «Повітряна тривога; (</w:t>
      </w:r>
      <w:hyperlink r:id="rId7">
        <w:r>
          <w:rPr>
            <w:rStyle w:val="ae"/>
            <w:szCs w:val="28"/>
            <w:lang w:val="uk-UA"/>
          </w:rPr>
          <w:t>https://dsns.gov.ua/uk/abetka-bezpeki/diyi-naselennya-v-umovax-nadzvicainix-situacii-vojennogo-xarakteru</w:t>
        </w:r>
      </w:hyperlink>
      <w:r>
        <w:rPr>
          <w:szCs w:val="28"/>
          <w:lang w:val="uk-UA"/>
        </w:rPr>
        <w:t xml:space="preserve"> </w:t>
      </w:r>
      <w:hyperlink r:id="rId8">
        <w:r>
          <w:rPr>
            <w:szCs w:val="28"/>
            <w:lang w:val="uk-UA"/>
          </w:rPr>
          <w:t xml:space="preserve">); </w:t>
        </w:r>
      </w:hyperlink>
    </w:p>
    <w:p w:rsidR="00B77640" w:rsidRDefault="00CE2800">
      <w:pPr>
        <w:spacing w:after="69"/>
        <w:jc w:val="right"/>
        <w:rPr>
          <w:szCs w:val="28"/>
          <w:lang w:val="uk-UA"/>
        </w:rPr>
      </w:pPr>
      <w:r>
        <w:rPr>
          <w:szCs w:val="28"/>
          <w:lang w:val="uk-UA"/>
        </w:rPr>
        <w:t>31.05.2024</w:t>
      </w:r>
    </w:p>
    <w:p w:rsidR="00B77640" w:rsidRDefault="00CE2800">
      <w:pPr>
        <w:spacing w:after="27"/>
        <w:ind w:left="4" w:right="95"/>
        <w:jc w:val="both"/>
        <w:rPr>
          <w:szCs w:val="28"/>
          <w:lang w:val="uk-UA"/>
        </w:rPr>
      </w:pPr>
      <w:r>
        <w:rPr>
          <w:szCs w:val="28"/>
          <w:lang w:val="uk-UA"/>
        </w:rPr>
        <w:t>2.4. Провести роз'яснювальну роботу з батьками та опікунами вихованців, учнів щодо попередження нещасних випа</w:t>
      </w:r>
      <w:r>
        <w:rPr>
          <w:szCs w:val="28"/>
          <w:lang w:val="uk-UA"/>
        </w:rPr>
        <w:t>дків під час літнього відпочинку.</w:t>
      </w:r>
    </w:p>
    <w:p w:rsidR="00B77640" w:rsidRDefault="00CE2800">
      <w:pPr>
        <w:tabs>
          <w:tab w:val="left" w:pos="612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31.05.2024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2.5. Розповсюдити пам’ятки з попередження дитячого травматизму під час канікул. </w:t>
      </w:r>
    </w:p>
    <w:p w:rsidR="00B77640" w:rsidRDefault="00CE2800">
      <w:pPr>
        <w:tabs>
          <w:tab w:val="left" w:pos="612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31.05.2024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 Контроль за виконанням наказу залишаю за собою.</w:t>
      </w: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CE2800">
      <w:pPr>
        <w:jc w:val="both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В.о</w:t>
      </w:r>
      <w:proofErr w:type="spellEnd"/>
      <w:r>
        <w:rPr>
          <w:b/>
          <w:szCs w:val="28"/>
          <w:lang w:val="uk-UA"/>
        </w:rPr>
        <w:t>. директора закладу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Наталія ДЕРЕГЛАЗОВА</w:t>
      </w:r>
    </w:p>
    <w:p w:rsidR="00B77640" w:rsidRDefault="00B77640">
      <w:pPr>
        <w:jc w:val="both"/>
        <w:rPr>
          <w:b/>
          <w:szCs w:val="28"/>
          <w:lang w:val="uk-UA"/>
        </w:rPr>
      </w:pP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B77640">
      <w:pPr>
        <w:jc w:val="both"/>
        <w:rPr>
          <w:szCs w:val="28"/>
          <w:lang w:val="uk-UA"/>
        </w:rPr>
      </w:pPr>
    </w:p>
    <w:p w:rsidR="00580155" w:rsidRDefault="00580155">
      <w:pPr>
        <w:jc w:val="both"/>
        <w:rPr>
          <w:szCs w:val="28"/>
          <w:lang w:val="uk-UA"/>
        </w:rPr>
      </w:pP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Візи: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директора з виховної роботи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Комунального закладу «Харківська спеціальна </w:t>
      </w: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школа № 12» Харківської обласної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О. </w:t>
      </w:r>
      <w:proofErr w:type="spellStart"/>
      <w:r>
        <w:rPr>
          <w:szCs w:val="28"/>
          <w:lang w:val="uk-UA"/>
        </w:rPr>
        <w:t>Семененко</w:t>
      </w:r>
      <w:proofErr w:type="spellEnd"/>
    </w:p>
    <w:p w:rsidR="00580155" w:rsidRDefault="00580155" w:rsidP="00580155">
      <w:pPr>
        <w:jc w:val="both"/>
        <w:rPr>
          <w:szCs w:val="28"/>
          <w:lang w:val="uk-UA"/>
        </w:rPr>
      </w:pPr>
    </w:p>
    <w:p w:rsidR="00580155" w:rsidRDefault="00580155" w:rsidP="0058015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Секретар </w:t>
      </w:r>
      <w:r>
        <w:rPr>
          <w:szCs w:val="28"/>
          <w:lang w:val="uk-UA"/>
        </w:rPr>
        <w:t xml:space="preserve">Комунального закладу </w:t>
      </w:r>
    </w:p>
    <w:p w:rsidR="00580155" w:rsidRDefault="00580155" w:rsidP="0058015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«Харківська спеціальна школа № 12»</w:t>
      </w:r>
    </w:p>
    <w:p w:rsidR="00580155" w:rsidRDefault="00580155" w:rsidP="0058015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Харківської обласної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</w:t>
      </w:r>
      <w:r>
        <w:rPr>
          <w:szCs w:val="28"/>
          <w:lang w:val="uk-UA"/>
        </w:rPr>
        <w:t xml:space="preserve">                   </w:t>
      </w:r>
      <w:r w:rsidR="00CE2800">
        <w:rPr>
          <w:szCs w:val="28"/>
          <w:lang w:val="uk-UA"/>
        </w:rPr>
        <w:t xml:space="preserve">  </w:t>
      </w:r>
      <w:bookmarkStart w:id="0" w:name="_GoBack"/>
      <w:bookmarkEnd w:id="0"/>
      <w:r>
        <w:rPr>
          <w:szCs w:val="28"/>
          <w:lang w:val="uk-UA"/>
        </w:rPr>
        <w:t>А.</w:t>
      </w:r>
      <w:proofErr w:type="spellStart"/>
      <w:r>
        <w:rPr>
          <w:szCs w:val="28"/>
          <w:lang w:val="uk-UA"/>
        </w:rPr>
        <w:t>Камлик</w:t>
      </w:r>
      <w:proofErr w:type="spellEnd"/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CE280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 наказом ознайомлені:</w:t>
      </w:r>
    </w:p>
    <w:p w:rsidR="00B77640" w:rsidRDefault="00B77640">
      <w:pPr>
        <w:jc w:val="both"/>
        <w:rPr>
          <w:szCs w:val="28"/>
          <w:lang w:val="uk-UA"/>
        </w:rPr>
      </w:pPr>
    </w:p>
    <w:p w:rsidR="00B77640" w:rsidRDefault="00B77640">
      <w:pPr>
        <w:sectPr w:rsidR="00B77640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49" w:bottom="1134" w:left="1701" w:header="709" w:footer="709" w:gutter="0"/>
          <w:cols w:space="720"/>
          <w:formProt w:val="0"/>
          <w:titlePg/>
          <w:docGrid w:linePitch="381"/>
        </w:sectPr>
      </w:pP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Андрієвська</w:t>
      </w:r>
      <w:proofErr w:type="spellEnd"/>
      <w:r>
        <w:rPr>
          <w:szCs w:val="28"/>
          <w:lang w:val="uk-UA"/>
        </w:rPr>
        <w:t xml:space="preserve"> О.В.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Н.Б.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Бобрусь</w:t>
      </w:r>
      <w:proofErr w:type="spellEnd"/>
      <w:r>
        <w:rPr>
          <w:szCs w:val="28"/>
          <w:lang w:val="uk-UA"/>
        </w:rPr>
        <w:t xml:space="preserve"> І.В.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Большунова</w:t>
      </w:r>
      <w:proofErr w:type="spellEnd"/>
      <w:r>
        <w:rPr>
          <w:szCs w:val="28"/>
          <w:lang w:val="uk-UA"/>
        </w:rPr>
        <w:t xml:space="preserve"> Ю.В.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Волошан</w:t>
      </w:r>
      <w:proofErr w:type="spellEnd"/>
      <w:r>
        <w:rPr>
          <w:szCs w:val="28"/>
          <w:lang w:val="uk-UA"/>
        </w:rPr>
        <w:t xml:space="preserve"> В.Г.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Гребеник</w:t>
      </w:r>
      <w:proofErr w:type="spellEnd"/>
      <w:r>
        <w:rPr>
          <w:szCs w:val="28"/>
          <w:lang w:val="uk-UA"/>
        </w:rPr>
        <w:t xml:space="preserve"> Л.І.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Гекова</w:t>
      </w:r>
      <w:proofErr w:type="spellEnd"/>
      <w:r>
        <w:rPr>
          <w:szCs w:val="28"/>
          <w:lang w:val="uk-UA"/>
        </w:rPr>
        <w:t xml:space="preserve"> В.О.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Германовська</w:t>
      </w:r>
      <w:proofErr w:type="spellEnd"/>
      <w:r>
        <w:rPr>
          <w:szCs w:val="28"/>
          <w:lang w:val="uk-UA"/>
        </w:rPr>
        <w:t xml:space="preserve"> О.С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Данильчук</w:t>
      </w:r>
      <w:proofErr w:type="spellEnd"/>
      <w:r>
        <w:rPr>
          <w:szCs w:val="28"/>
          <w:lang w:val="uk-UA"/>
        </w:rPr>
        <w:t xml:space="preserve"> А.Ю.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Коновалова С.Є.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Коновалова Т.І.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Кропивна О.І.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Крилов П.С.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Кудряшова І.Є.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Лисанова</w:t>
      </w:r>
      <w:proofErr w:type="spellEnd"/>
      <w:r>
        <w:rPr>
          <w:szCs w:val="28"/>
          <w:lang w:val="uk-UA"/>
        </w:rPr>
        <w:t xml:space="preserve"> В.М.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Лещенко В.В.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Лялюк</w:t>
      </w:r>
      <w:proofErr w:type="spellEnd"/>
      <w:r>
        <w:rPr>
          <w:szCs w:val="28"/>
          <w:lang w:val="uk-UA"/>
        </w:rPr>
        <w:t xml:space="preserve"> Н.О.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Оксенчук</w:t>
      </w:r>
      <w:proofErr w:type="spellEnd"/>
      <w:r>
        <w:rPr>
          <w:szCs w:val="28"/>
          <w:lang w:val="uk-UA"/>
        </w:rPr>
        <w:t xml:space="preserve"> С.В.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Полякова О.В.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Савуляк</w:t>
      </w:r>
      <w:proofErr w:type="spellEnd"/>
      <w:r>
        <w:rPr>
          <w:szCs w:val="28"/>
          <w:lang w:val="uk-UA"/>
        </w:rPr>
        <w:t xml:space="preserve"> С.А.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Семешкина</w:t>
      </w:r>
      <w:proofErr w:type="spellEnd"/>
      <w:r>
        <w:rPr>
          <w:szCs w:val="28"/>
          <w:lang w:val="uk-UA"/>
        </w:rPr>
        <w:t xml:space="preserve"> О.І.</w:t>
      </w:r>
      <w:r>
        <w:rPr>
          <w:szCs w:val="28"/>
          <w:lang w:val="uk-UA"/>
        </w:rPr>
        <w:tab/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Світлична</w:t>
      </w:r>
      <w:proofErr w:type="spellEnd"/>
      <w:r>
        <w:rPr>
          <w:szCs w:val="28"/>
          <w:lang w:val="uk-UA"/>
        </w:rPr>
        <w:t xml:space="preserve"> Л.І.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Сотникова Л.В.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Смірнова К.М.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Толстих М.В.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Ткаченко Т.П.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Штих.О.С</w:t>
      </w:r>
      <w:proofErr w:type="spellEnd"/>
      <w:r>
        <w:rPr>
          <w:szCs w:val="28"/>
          <w:lang w:val="uk-UA"/>
        </w:rPr>
        <w:t>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Федосова</w:t>
      </w:r>
      <w:proofErr w:type="spellEnd"/>
      <w:r>
        <w:rPr>
          <w:szCs w:val="28"/>
          <w:lang w:val="uk-UA"/>
        </w:rPr>
        <w:t xml:space="preserve"> В.Б.</w:t>
      </w:r>
    </w:p>
    <w:p w:rsidR="00B77640" w:rsidRDefault="00CE2800" w:rsidP="00580155">
      <w:pPr>
        <w:ind w:left="-426" w:firstLine="426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Яснопольська</w:t>
      </w:r>
      <w:proofErr w:type="spellEnd"/>
      <w:r>
        <w:rPr>
          <w:szCs w:val="28"/>
          <w:lang w:val="uk-UA"/>
        </w:rPr>
        <w:t xml:space="preserve"> О.Ю.   </w:t>
      </w:r>
    </w:p>
    <w:p w:rsidR="00B77640" w:rsidRDefault="00B77640">
      <w:pPr>
        <w:jc w:val="both"/>
        <w:rPr>
          <w:szCs w:val="28"/>
          <w:lang w:val="uk-UA"/>
        </w:rPr>
      </w:pPr>
    </w:p>
    <w:sectPr w:rsidR="00B77640">
      <w:type w:val="continuous"/>
      <w:pgSz w:w="11906" w:h="16838"/>
      <w:pgMar w:top="1134" w:right="849" w:bottom="1134" w:left="1701" w:header="709" w:footer="709" w:gutter="0"/>
      <w:cols w:num="2" w:space="708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800">
      <w:r>
        <w:separator/>
      </w:r>
    </w:p>
  </w:endnote>
  <w:endnote w:type="continuationSeparator" w:id="0">
    <w:p w:rsidR="00000000" w:rsidRDefault="00CE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40" w:rsidRDefault="00CE2800">
    <w:pPr>
      <w:pStyle w:val="a4"/>
      <w:ind w:right="360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640" w:rsidRDefault="00CE2800">
                          <w:pPr>
                            <w:pStyle w:val="a4"/>
                            <w:rPr>
                              <w:rStyle w:val="a7"/>
                              <w:rFonts w:eastAsia="Arial Unicode MS"/>
                            </w:rPr>
                          </w:pP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t>0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eastAsia="Arial Unicode MS"/>
                      </w:rPr>
                    </w:pPr>
                    <w:r>
                      <w:rPr>
                        <w:rStyle w:val="Pagenumber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Pagenumber"/>
                        <w:rFonts w:eastAsia="Arial Unicode MS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Arial Unicode MS"/>
                      </w:rPr>
                      <w:fldChar w:fldCharType="separate"/>
                    </w:r>
                    <w:r>
                      <w:rPr>
                        <w:rStyle w:val="Pagenumber"/>
                        <w:rFonts w:eastAsia="Arial Unicode MS"/>
                      </w:rPr>
                      <w:t>0</w:t>
                    </w:r>
                    <w:r>
                      <w:rPr>
                        <w:rStyle w:val="Pagenumber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40" w:rsidRDefault="00B776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800">
      <w:r>
        <w:separator/>
      </w:r>
    </w:p>
  </w:footnote>
  <w:footnote w:type="continuationSeparator" w:id="0">
    <w:p w:rsidR="00000000" w:rsidRDefault="00CE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40" w:rsidRDefault="00CE28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640" w:rsidRDefault="00CE2800">
                          <w:pPr>
                            <w:pStyle w:val="a6"/>
                            <w:rPr>
                              <w:rStyle w:val="a7"/>
                              <w:rFonts w:eastAsia="Arial Unicode MS"/>
                            </w:rPr>
                          </w:pP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t>0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  <w:rFonts w:eastAsia="Arial Unicode MS"/>
                      </w:rPr>
                    </w:pPr>
                    <w:r>
                      <w:rPr>
                        <w:rStyle w:val="Pagenumber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Pagenumber"/>
                        <w:rFonts w:eastAsia="Arial Unicode MS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eastAsia="Arial Unicode MS"/>
                      </w:rPr>
                      <w:fldChar w:fldCharType="separate"/>
                    </w:r>
                    <w:r>
                      <w:rPr>
                        <w:rStyle w:val="Pagenumber"/>
                        <w:rFonts w:eastAsia="Arial Unicode MS"/>
                      </w:rPr>
                      <w:t>0</w:t>
                    </w:r>
                    <w:r>
                      <w:rPr>
                        <w:rStyle w:val="Pagenumber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40" w:rsidRDefault="00CE28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7640" w:rsidRDefault="00CE2800">
                          <w:pPr>
                            <w:pStyle w:val="a6"/>
                            <w:rPr>
                              <w:rStyle w:val="a7"/>
                              <w:rFonts w:eastAsia="Arial Unicode MS"/>
                            </w:rPr>
                          </w:pP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Arial Unicode MS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7.05pt;height:16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B77640" w:rsidRDefault="00CE2800">
                    <w:pPr>
                      <w:pStyle w:val="a6"/>
                      <w:rPr>
                        <w:rStyle w:val="a7"/>
                        <w:rFonts w:eastAsia="Arial Unicode MS"/>
                      </w:rPr>
                    </w:pPr>
                    <w:r>
                      <w:rPr>
                        <w:rStyle w:val="a7"/>
                        <w:rFonts w:eastAsia="Arial Unicode MS"/>
                      </w:rPr>
                      <w:fldChar w:fldCharType="begin"/>
                    </w:r>
                    <w:r>
                      <w:rPr>
                        <w:rStyle w:val="a7"/>
                        <w:rFonts w:eastAsia="Arial Unicode MS"/>
                      </w:rPr>
                      <w:instrText xml:space="preserve"> PAGE </w:instrText>
                    </w:r>
                    <w:r>
                      <w:rPr>
                        <w:rStyle w:val="a7"/>
                        <w:rFonts w:eastAsia="Arial Unicode MS"/>
                      </w:rPr>
                      <w:fldChar w:fldCharType="separate"/>
                    </w:r>
                    <w:r>
                      <w:rPr>
                        <w:rStyle w:val="a7"/>
                        <w:rFonts w:eastAsia="Arial Unicode MS"/>
                        <w:noProof/>
                      </w:rPr>
                      <w:t>3</w:t>
                    </w:r>
                    <w:r>
                      <w:rPr>
                        <w:rStyle w:val="a7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640"/>
    <w:rsid w:val="00580155"/>
    <w:rsid w:val="00B77640"/>
    <w:rsid w:val="00C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22D1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qFormat/>
    <w:rsid w:val="00B828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B8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qFormat/>
    <w:rsid w:val="00B828F2"/>
  </w:style>
  <w:style w:type="character" w:customStyle="1" w:styleId="a8">
    <w:name w:val="Текст Знак"/>
    <w:basedOn w:val="a0"/>
    <w:link w:val="a9"/>
    <w:qFormat/>
    <w:rsid w:val="00B828F2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qFormat/>
    <w:rsid w:val="000222D1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qFormat/>
    <w:rsid w:val="000222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17">
    <w:name w:val="Font Style17"/>
    <w:basedOn w:val="a0"/>
    <w:uiPriority w:val="99"/>
    <w:qFormat/>
    <w:rsid w:val="000F26CC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92788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A369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369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B365B"/>
    <w:rPr>
      <w:color w:val="800080" w:themeColor="followedHyperlink"/>
      <w:u w:val="single"/>
    </w:rPr>
  </w:style>
  <w:style w:type="paragraph" w:customStyle="1" w:styleId="af0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link w:val="aa"/>
    <w:unhideWhenUsed/>
    <w:rsid w:val="000222D1"/>
    <w:pPr>
      <w:overflowPunct w:val="0"/>
      <w:jc w:val="both"/>
    </w:pPr>
    <w:rPr>
      <w:szCs w:val="20"/>
      <w:lang w:val="uk-UA"/>
    </w:rPr>
  </w:style>
  <w:style w:type="paragraph" w:styleId="af1">
    <w:name w:val="List"/>
    <w:basedOn w:val="ab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af4">
    <w:name w:val="Колонтитул"/>
    <w:basedOn w:val="a"/>
    <w:qFormat/>
  </w:style>
  <w:style w:type="paragraph" w:styleId="a4">
    <w:name w:val="footer"/>
    <w:basedOn w:val="a"/>
    <w:link w:val="a3"/>
    <w:rsid w:val="00B828F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6">
    <w:name w:val="header"/>
    <w:basedOn w:val="a"/>
    <w:link w:val="a5"/>
    <w:uiPriority w:val="99"/>
    <w:rsid w:val="00B828F2"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8"/>
    <w:qFormat/>
    <w:rsid w:val="00B828F2"/>
    <w:rPr>
      <w:rFonts w:ascii="Courier New" w:hAnsi="Courier New"/>
      <w:sz w:val="20"/>
      <w:szCs w:val="20"/>
      <w:lang w:eastAsia="uk-UA"/>
    </w:rPr>
  </w:style>
  <w:style w:type="paragraph" w:styleId="af5">
    <w:name w:val="Normal (Web)"/>
    <w:basedOn w:val="a"/>
    <w:qFormat/>
    <w:rsid w:val="00B828F2"/>
    <w:pPr>
      <w:spacing w:beforeAutospacing="1" w:afterAutospacing="1"/>
    </w:pPr>
    <w:rPr>
      <w:sz w:val="24"/>
    </w:rPr>
  </w:style>
  <w:style w:type="paragraph" w:styleId="ad">
    <w:name w:val="Balloon Text"/>
    <w:basedOn w:val="a"/>
    <w:link w:val="ac"/>
    <w:uiPriority w:val="99"/>
    <w:semiHidden/>
    <w:unhideWhenUsed/>
    <w:qFormat/>
    <w:rsid w:val="0092788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36F82"/>
    <w:pPr>
      <w:ind w:left="720"/>
      <w:contextualSpacing/>
    </w:pPr>
  </w:style>
  <w:style w:type="paragraph" w:customStyle="1" w:styleId="af7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s.gov.ua/uk/abetkabezpeki/diyi-naselennya-v-umovax-nadzvicainix-situacii-vojennogo-xarakte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ns.gov.ua/uk/abetka-bezpeki/diyi-naselennya-v-umovax-nadzvicainix-situacii-vojennogo-xarakte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7</cp:revision>
  <cp:lastPrinted>2024-06-14T09:00:00Z</cp:lastPrinted>
  <dcterms:created xsi:type="dcterms:W3CDTF">2023-05-23T06:42:00Z</dcterms:created>
  <dcterms:modified xsi:type="dcterms:W3CDTF">2024-06-14T09:06:00Z</dcterms:modified>
  <dc:language>ru-RU</dc:language>
</cp:coreProperties>
</file>