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D8" w:rsidRDefault="009821D8" w:rsidP="009821D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4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Фінансово-господарська діяльність </w:t>
      </w:r>
    </w:p>
    <w:p w:rsidR="009821D8" w:rsidRDefault="009821D8" w:rsidP="009821D8">
      <w:pPr>
        <w:widowControl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821D8" w:rsidRDefault="009821D8" w:rsidP="009821D8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інансово-господарська діяльність КЗ «ХСШ № 12» ХОР спрямована на виконання чинного законодавства України, що регламентує бюджетні відносини й фінансово-господарську діяльність закладу освіти.</w:t>
      </w:r>
    </w:p>
    <w:p w:rsidR="009821D8" w:rsidRDefault="009821D8" w:rsidP="009821D8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У 2022/2023 навчальному році фінансово-господарська діяльність спрямовувалася на усунення наслідків</w:t>
      </w:r>
      <w:r>
        <w:rPr>
          <w:rFonts w:ascii="Times New Roman" w:hAnsi="Times New Roman"/>
          <w:sz w:val="28"/>
          <w:szCs w:val="28"/>
          <w:lang w:val="uk-UA"/>
        </w:rPr>
        <w:t xml:space="preserve">, спричинених збройною агресією російської федерації щодо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відновлення закладу освіти, підтримку функціонального стану систем енергопостачання та засобів протипожежної безпеки, збереження матеріально-технічної бази.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Достатньо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уваги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приділено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питанню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економії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енергоносіїв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раціональному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використанню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фінансових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ресурсів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умовах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воєнного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стану.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Незважаючи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війну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Україні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постійному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контролі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знаходилися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питання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ведення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бухгалтерського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обл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відображення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 документах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достовірної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інформації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господарські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операції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результати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яка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необхідна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для оперативного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управління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бюджетними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призначеннями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фінансовими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матеріальними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ресурсами.</w:t>
      </w:r>
    </w:p>
    <w:p w:rsidR="009821D8" w:rsidRDefault="009821D8" w:rsidP="009821D8">
      <w:pPr>
        <w:spacing w:after="0"/>
        <w:ind w:right="141"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Основними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джерелами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фінансування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821D8" w:rsidRDefault="009821D8" w:rsidP="009821D8">
      <w:pPr>
        <w:numPr>
          <w:ilvl w:val="0"/>
          <w:numId w:val="4"/>
        </w:numPr>
        <w:tabs>
          <w:tab w:val="left" w:pos="142"/>
          <w:tab w:val="left" w:pos="567"/>
        </w:tabs>
        <w:spacing w:after="0"/>
        <w:ind w:right="141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місцевий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обласний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 бюджет – на оплату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енергоносіїв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техн</w:t>
      </w:r>
      <w:proofErr w:type="gramEnd"/>
      <w:r>
        <w:rPr>
          <w:rFonts w:ascii="Times New Roman" w:eastAsia="Times New Roman" w:hAnsi="Times New Roman"/>
          <w:sz w:val="28"/>
          <w:szCs w:val="28"/>
        </w:rPr>
        <w:t>ічне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обслуговування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матеріально-технічної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бази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заробітної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плати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закладу;</w:t>
      </w:r>
    </w:p>
    <w:p w:rsidR="009821D8" w:rsidRDefault="009821D8" w:rsidP="009821D8">
      <w:pPr>
        <w:numPr>
          <w:ilvl w:val="0"/>
          <w:numId w:val="4"/>
        </w:numPr>
        <w:tabs>
          <w:tab w:val="left" w:pos="142"/>
          <w:tab w:val="left" w:pos="567"/>
        </w:tabs>
        <w:spacing w:after="0"/>
        <w:ind w:right="141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субвенція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державного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бюджету – на оплату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заробітної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плати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педагогічних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закладу;</w:t>
      </w:r>
    </w:p>
    <w:p w:rsidR="009821D8" w:rsidRDefault="009821D8" w:rsidP="009821D8">
      <w:pPr>
        <w:numPr>
          <w:ilvl w:val="0"/>
          <w:numId w:val="4"/>
        </w:numPr>
        <w:tabs>
          <w:tab w:val="left" w:pos="142"/>
          <w:tab w:val="left" w:pos="567"/>
        </w:tabs>
        <w:spacing w:after="0"/>
        <w:ind w:right="141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бюджет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на оплату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видатків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капітального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ремонту та нового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будівництва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9821D8" w:rsidRDefault="009821D8" w:rsidP="009821D8">
      <w:pPr>
        <w:pStyle w:val="a3"/>
        <w:widowControl w:val="0"/>
        <w:spacing w:after="0"/>
        <w:ind w:left="153" w:firstLine="55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Закладом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забезпечувалося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дотримання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бюджетного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законодавства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взятті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бюджетних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зобов’язань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межах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бюджетних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асигнувань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встановлених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кошторисом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своєчасна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їх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реєстрація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здійснення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платежів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Фінансові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матеріальні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ресурси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використовувалися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відповідно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затверджених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нормативів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кошторису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proofErr w:type="gramEnd"/>
    </w:p>
    <w:p w:rsidR="009821D8" w:rsidRDefault="009821D8" w:rsidP="009821D8">
      <w:pPr>
        <w:pStyle w:val="a3"/>
        <w:widowControl w:val="0"/>
        <w:spacing w:after="0"/>
        <w:ind w:left="153" w:firstLine="555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функціонування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закладу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тісному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контакті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>КЗ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«ХСШ № 12» ХОР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співпрацював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 АК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Харківобленерго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»,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ПрАТ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Харківенергозбут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», КП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Харківводоканал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», КП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Харківські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теплові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мережі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» та КП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Харківські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теплові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системи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», КП «Комплекс з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вивозу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побутових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відходів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»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основі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укладених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договорів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Постійно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вівся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облік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холодної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гарячої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води,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теплової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енергії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електроенергії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 метою контролю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економним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раціональним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використанням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енергетичних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ресурсі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9821D8" w:rsidRDefault="009821D8" w:rsidP="009821D8">
      <w:pPr>
        <w:pStyle w:val="a3"/>
        <w:widowControl w:val="0"/>
        <w:spacing w:after="0"/>
        <w:ind w:left="153" w:firstLine="555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За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ідтримки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Департаменту науки і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ХОДА,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раціональному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економному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використанню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теплової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енергії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виконані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зобов’язання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lastRenderedPageBreak/>
        <w:t>заборгованості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КЗ «ХСШ №12»ХОР перед КП «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Харківські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теплові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мережі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» за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рішенням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Господарчого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суду 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Харківської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області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повному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обсязі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9821D8" w:rsidRDefault="009821D8" w:rsidP="009821D8">
      <w:pPr>
        <w:pStyle w:val="a3"/>
        <w:spacing w:after="0"/>
        <w:ind w:left="153" w:right="141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поточний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>
        <w:rPr>
          <w:rFonts w:ascii="Times New Roman" w:hAnsi="Times New Roman"/>
          <w:sz w:val="28"/>
          <w:szCs w:val="28"/>
        </w:rPr>
        <w:t>модернізованого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індивідуального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теплового пункту для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опалювального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сезону на </w:t>
      </w:r>
      <w:proofErr w:type="spellStart"/>
      <w:r>
        <w:rPr>
          <w:rFonts w:ascii="Times New Roman" w:hAnsi="Times New Roman"/>
          <w:sz w:val="28"/>
          <w:szCs w:val="28"/>
        </w:rPr>
        <w:t>загальну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суму 25 901,08 грн. </w:t>
      </w:r>
    </w:p>
    <w:p w:rsidR="009821D8" w:rsidRDefault="009821D8" w:rsidP="009821D8">
      <w:pPr>
        <w:pStyle w:val="a3"/>
        <w:spacing w:after="0"/>
        <w:ind w:left="153" w:right="141" w:firstLine="55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Розпочато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підготовку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капітального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ремонту закладу, </w:t>
      </w:r>
      <w:proofErr w:type="spellStart"/>
      <w:r>
        <w:rPr>
          <w:rFonts w:ascii="Times New Roman" w:hAnsi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бомбосховища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gramStart"/>
      <w:r>
        <w:rPr>
          <w:rFonts w:ascii="Times New Roman" w:hAnsi="Times New Roman"/>
          <w:sz w:val="28"/>
          <w:szCs w:val="28"/>
        </w:rPr>
        <w:t>благоустрою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прилеглої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виготовлено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проєктно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кошторисні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позитивними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експертними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висновками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загальну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суму 5 694 280,00 грн.)</w:t>
      </w:r>
    </w:p>
    <w:p w:rsidR="009821D8" w:rsidRDefault="009821D8" w:rsidP="009821D8">
      <w:pPr>
        <w:tabs>
          <w:tab w:val="left" w:pos="567"/>
        </w:tabs>
        <w:spacing w:after="0"/>
        <w:ind w:left="142" w:right="1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</w:rPr>
        <w:t>Оновлено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матер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іально-технічну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базу закладу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загальну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суму                             1 831 080,35 грн., в тому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числі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9821D8" w:rsidRDefault="009821D8" w:rsidP="009821D8">
      <w:pPr>
        <w:numPr>
          <w:ilvl w:val="0"/>
          <w:numId w:val="1"/>
        </w:numPr>
        <w:spacing w:after="0"/>
        <w:ind w:left="142" w:right="141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рахунок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гуманітарної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благодійної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отримано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інтерактивне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комп’ютерне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обладнання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суму 1783 476,35 грн.;</w:t>
      </w:r>
    </w:p>
    <w:p w:rsidR="009821D8" w:rsidRDefault="009821D8" w:rsidP="009821D8">
      <w:pPr>
        <w:numPr>
          <w:ilvl w:val="0"/>
          <w:numId w:val="1"/>
        </w:numPr>
        <w:spacing w:after="0"/>
        <w:ind w:left="142" w:right="141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рахунок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гуманітарної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отримано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засоби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протипожежної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 генератор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загальну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суму 32 400,00 грн.;</w:t>
      </w:r>
    </w:p>
    <w:p w:rsidR="009821D8" w:rsidRDefault="009821D8" w:rsidP="009821D8">
      <w:pPr>
        <w:numPr>
          <w:ilvl w:val="0"/>
          <w:numId w:val="1"/>
        </w:numPr>
        <w:spacing w:after="0"/>
        <w:ind w:left="142" w:right="141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рахунок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гуманітарної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отримано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звукове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обладнання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музичні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інструменти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загальну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суму 15 204,00 грн.</w:t>
      </w:r>
    </w:p>
    <w:p w:rsidR="009821D8" w:rsidRDefault="009821D8" w:rsidP="009821D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Завдяки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благодійній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допомозі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закладі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9821D8" w:rsidRDefault="009821D8" w:rsidP="009821D8">
      <w:pPr>
        <w:pStyle w:val="a3"/>
        <w:numPr>
          <w:ilvl w:val="0"/>
          <w:numId w:val="5"/>
        </w:numPr>
        <w:spacing w:after="0"/>
        <w:ind w:hanging="57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міжкімнатні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двері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кабінетах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початкової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школи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було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пошкоджено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результаті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бойових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Харківщині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821D8" w:rsidRDefault="009821D8" w:rsidP="009821D8">
      <w:pPr>
        <w:pStyle w:val="a3"/>
        <w:numPr>
          <w:ilvl w:val="0"/>
          <w:numId w:val="5"/>
        </w:numPr>
        <w:spacing w:after="0"/>
        <w:ind w:hanging="57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отримано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36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шт.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ілих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тростей для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корекційної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821D8" w:rsidRDefault="009821D8" w:rsidP="009821D8">
      <w:pPr>
        <w:pStyle w:val="a3"/>
        <w:numPr>
          <w:ilvl w:val="0"/>
          <w:numId w:val="5"/>
        </w:numPr>
        <w:spacing w:after="0"/>
        <w:ind w:hanging="57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поповнено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бібліотечний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фонд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кількості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50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книжок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виготовлених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технологією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універсального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дизайну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збільшений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шрифт та шрифт Брайля);</w:t>
      </w:r>
    </w:p>
    <w:p w:rsidR="009821D8" w:rsidRDefault="009821D8" w:rsidP="009821D8">
      <w:pPr>
        <w:pStyle w:val="a3"/>
        <w:numPr>
          <w:ilvl w:val="0"/>
          <w:numId w:val="8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отримано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розвивальні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навчальні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ігри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корекційної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канцтовари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821D8" w:rsidRDefault="009821D8" w:rsidP="009821D8">
      <w:pPr>
        <w:pStyle w:val="a3"/>
        <w:numPr>
          <w:ilvl w:val="0"/>
          <w:numId w:val="7"/>
        </w:numPr>
        <w:spacing w:after="0"/>
        <w:ind w:hanging="57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отримано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миючі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засоби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821D8" w:rsidRDefault="009821D8" w:rsidP="009821D8">
      <w:pPr>
        <w:pStyle w:val="a3"/>
        <w:numPr>
          <w:ilvl w:val="0"/>
          <w:numId w:val="6"/>
        </w:numPr>
        <w:spacing w:after="0"/>
        <w:ind w:hanging="57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отримано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солодкі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Новорічні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подарунки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21D8" w:rsidRDefault="009821D8" w:rsidP="009821D8">
      <w:pPr>
        <w:spacing w:after="0"/>
        <w:ind w:left="142" w:right="141" w:firstLine="56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Задля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першочергових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аварійно-ремонтних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робіт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господарським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способом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отримано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ДНіО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ХОВА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будівельні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матеріали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загальну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суму 370719,12 грн.,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використано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залучанням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волонтерських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організацій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часткового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усунення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пошкоджень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виникли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внаслідок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влучання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територію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2-х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балистичних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ракет.</w:t>
      </w:r>
    </w:p>
    <w:p w:rsidR="009821D8" w:rsidRDefault="009821D8" w:rsidP="009821D8">
      <w:pPr>
        <w:spacing w:after="0"/>
        <w:ind w:left="142" w:right="141"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Загалом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ідготовку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 2022/2023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навчального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року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витрачено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7 963 845,55 грн., в тому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числі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9821D8" w:rsidRDefault="009821D8" w:rsidP="009821D8">
      <w:pPr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ind w:left="142" w:right="141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бюджетних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5 762 046,08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9821D8" w:rsidRDefault="009821D8" w:rsidP="009821D8">
      <w:pPr>
        <w:numPr>
          <w:ilvl w:val="0"/>
          <w:numId w:val="2"/>
        </w:numPr>
        <w:tabs>
          <w:tab w:val="left" w:pos="426"/>
          <w:tab w:val="left" w:pos="851"/>
        </w:tabs>
        <w:spacing w:after="0"/>
        <w:ind w:left="142" w:right="141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позабюджетних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2 201 799,47 грн.</w:t>
      </w:r>
    </w:p>
    <w:p w:rsidR="009821D8" w:rsidRDefault="009821D8" w:rsidP="009821D8">
      <w:pPr>
        <w:spacing w:after="0"/>
        <w:ind w:left="142" w:right="141" w:firstLine="566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lastRenderedPageBreak/>
        <w:t>При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фінансово-господарчої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 2023/2024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навчальному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направити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зусилля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вирішення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таких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821D8" w:rsidRDefault="009821D8" w:rsidP="009821D8">
      <w:pPr>
        <w:numPr>
          <w:ilvl w:val="0"/>
          <w:numId w:val="3"/>
        </w:numPr>
        <w:tabs>
          <w:tab w:val="left" w:pos="142"/>
        </w:tabs>
        <w:spacing w:after="0"/>
        <w:ind w:left="142" w:right="141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продовжити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роботу з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економного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раціонального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енергоносіїв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фінансових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ресурсі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9821D8" w:rsidRDefault="009821D8" w:rsidP="009821D8">
      <w:pPr>
        <w:numPr>
          <w:ilvl w:val="0"/>
          <w:numId w:val="3"/>
        </w:numPr>
        <w:tabs>
          <w:tab w:val="left" w:pos="142"/>
        </w:tabs>
        <w:spacing w:after="0"/>
        <w:ind w:right="141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посилити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роботу з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урізноманітнення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позабюджетних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надходжень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9821D8" w:rsidRDefault="009821D8" w:rsidP="009821D8">
      <w:pPr>
        <w:numPr>
          <w:ilvl w:val="0"/>
          <w:numId w:val="3"/>
        </w:numPr>
        <w:tabs>
          <w:tab w:val="left" w:pos="142"/>
        </w:tabs>
        <w:spacing w:after="0"/>
        <w:ind w:right="141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особливу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увагу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приділити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ремонту систем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опалення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водопостачання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водовідведення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9821D8" w:rsidRDefault="009821D8" w:rsidP="009821D8">
      <w:pPr>
        <w:numPr>
          <w:ilvl w:val="0"/>
          <w:numId w:val="3"/>
        </w:numPr>
        <w:tabs>
          <w:tab w:val="left" w:pos="142"/>
        </w:tabs>
        <w:spacing w:after="0"/>
        <w:ind w:right="141" w:firstLine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посилити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збереження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майна.</w:t>
      </w:r>
    </w:p>
    <w:p w:rsidR="00CF5C9D" w:rsidRDefault="00CF5C9D">
      <w:pPr>
        <w:rPr>
          <w:lang w:val="uk-UA"/>
        </w:rPr>
      </w:pPr>
    </w:p>
    <w:p w:rsidR="008C04C4" w:rsidRDefault="008C04C4" w:rsidP="008C04C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Фінансово-господарська робота, зміцнення матеріально-технічної бази школи</w:t>
      </w:r>
    </w:p>
    <w:p w:rsidR="008C04C4" w:rsidRDefault="008C04C4" w:rsidP="008C04C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Фінансово-господарську діяльність у 2023/2024 навчальному році направити на:</w:t>
      </w:r>
    </w:p>
    <w:p w:rsidR="008C04C4" w:rsidRDefault="008C04C4" w:rsidP="008C04C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комфортного, безпечного освітнього середовища.</w:t>
      </w:r>
    </w:p>
    <w:p w:rsidR="008C04C4" w:rsidRDefault="008C04C4" w:rsidP="008C04C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Підтримку у робочому стані систем життєзабезпечення школи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електро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-, водозабезпечення, каналізаційна система).</w:t>
      </w:r>
    </w:p>
    <w:p w:rsidR="008C04C4" w:rsidRDefault="008C04C4" w:rsidP="008C04C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Підтримання в належному стані меблів, обладнання тощо.</w:t>
      </w:r>
    </w:p>
    <w:p w:rsidR="008C04C4" w:rsidRDefault="008C04C4" w:rsidP="008C04C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Придбання необхідного обладнання, ТЗН, меблів для кабінетів.</w:t>
      </w:r>
    </w:p>
    <w:p w:rsidR="008C04C4" w:rsidRDefault="008C04C4" w:rsidP="008C04C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плану поточного ремонту шкільних приміщень.</w:t>
      </w:r>
    </w:p>
    <w:p w:rsidR="008C04C4" w:rsidRDefault="008C04C4" w:rsidP="008C04C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цією метою:</w:t>
      </w:r>
    </w:p>
    <w:p w:rsidR="008C04C4" w:rsidRDefault="008C04C4" w:rsidP="008C04C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раціональне та ефективне використання бюджетних асигнувань.</w:t>
      </w:r>
    </w:p>
    <w:p w:rsidR="008C04C4" w:rsidRDefault="008C04C4" w:rsidP="008C04C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Залучати позабюджетні кошти шляхом надання додаткових освітніх послуг, спонсорської допомоги.</w:t>
      </w:r>
    </w:p>
    <w:p w:rsidR="008C04C4" w:rsidRDefault="008C04C4" w:rsidP="008C04C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Брати участь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мініпроєктах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місцевого та обласного рівнів.</w:t>
      </w:r>
    </w:p>
    <w:p w:rsidR="008C04C4" w:rsidRDefault="008C04C4" w:rsidP="008C04C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виконання заходів:</w:t>
      </w:r>
    </w:p>
    <w:p w:rsidR="008C04C4" w:rsidRDefault="008C04C4" w:rsidP="008C04C4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98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602"/>
        <w:gridCol w:w="2224"/>
        <w:gridCol w:w="1610"/>
      </w:tblGrid>
      <w:tr w:rsidR="008C04C4" w:rsidTr="000D0AF7">
        <w:tc>
          <w:tcPr>
            <w:tcW w:w="568" w:type="dxa"/>
          </w:tcPr>
          <w:p w:rsidR="008C04C4" w:rsidRDefault="008C04C4" w:rsidP="000D0AF7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8C04C4" w:rsidRDefault="008C04C4" w:rsidP="000D0AF7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827" w:type="dxa"/>
          </w:tcPr>
          <w:p w:rsidR="008C04C4" w:rsidRDefault="008C04C4" w:rsidP="000D0AF7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602" w:type="dxa"/>
          </w:tcPr>
          <w:p w:rsidR="008C04C4" w:rsidRDefault="008C04C4" w:rsidP="000D0AF7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24" w:type="dxa"/>
          </w:tcPr>
          <w:p w:rsidR="008C04C4" w:rsidRDefault="008C04C4" w:rsidP="000D0AF7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610" w:type="dxa"/>
          </w:tcPr>
          <w:p w:rsidR="008C04C4" w:rsidRDefault="008C04C4" w:rsidP="000D0AF7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8C04C4" w:rsidTr="000D0AF7">
        <w:tc>
          <w:tcPr>
            <w:tcW w:w="568" w:type="dxa"/>
          </w:tcPr>
          <w:p w:rsidR="008C04C4" w:rsidRDefault="008C04C4" w:rsidP="000D0AF7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8C04C4" w:rsidRDefault="008C04C4" w:rsidP="000D0AF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Скласти та передати на погодження відділу освіти бюджетний запит школи на 2024 рік.</w:t>
            </w:r>
          </w:p>
        </w:tc>
        <w:tc>
          <w:tcPr>
            <w:tcW w:w="1602" w:type="dxa"/>
          </w:tcPr>
          <w:p w:rsidR="008C04C4" w:rsidRDefault="008C04C4" w:rsidP="000D0AF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01.10.2023</w:t>
            </w:r>
          </w:p>
        </w:tc>
        <w:tc>
          <w:tcPr>
            <w:tcW w:w="2224" w:type="dxa"/>
          </w:tcPr>
          <w:p w:rsidR="008C04C4" w:rsidRDefault="008C04C4" w:rsidP="000D0AF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610" w:type="dxa"/>
          </w:tcPr>
          <w:p w:rsidR="008C04C4" w:rsidRDefault="008C04C4" w:rsidP="000D0AF7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8C04C4" w:rsidTr="000D0AF7">
        <w:tc>
          <w:tcPr>
            <w:tcW w:w="568" w:type="dxa"/>
          </w:tcPr>
          <w:p w:rsidR="008C04C4" w:rsidRDefault="008C04C4" w:rsidP="000D0AF7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8C04C4" w:rsidRDefault="008C04C4" w:rsidP="000D0AF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Тримати під контролем виконання кошторису на 2023 рік.</w:t>
            </w:r>
          </w:p>
        </w:tc>
        <w:tc>
          <w:tcPr>
            <w:tcW w:w="1602" w:type="dxa"/>
          </w:tcPr>
          <w:p w:rsidR="008C04C4" w:rsidRDefault="008C04C4" w:rsidP="000D0AF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224" w:type="dxa"/>
          </w:tcPr>
          <w:p w:rsidR="008C04C4" w:rsidRDefault="008C04C4" w:rsidP="000D0AF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610" w:type="dxa"/>
          </w:tcPr>
          <w:p w:rsidR="008C04C4" w:rsidRDefault="008C04C4" w:rsidP="000D0AF7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8C04C4" w:rsidTr="000D0AF7">
        <w:tc>
          <w:tcPr>
            <w:tcW w:w="568" w:type="dxa"/>
          </w:tcPr>
          <w:p w:rsidR="008C04C4" w:rsidRDefault="008C04C4" w:rsidP="000D0AF7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827" w:type="dxa"/>
          </w:tcPr>
          <w:p w:rsidR="008C04C4" w:rsidRDefault="008C04C4" w:rsidP="000D0AF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Тримати під контролем дотримання планових лімітів на використання енергоресурсів.</w:t>
            </w:r>
          </w:p>
        </w:tc>
        <w:tc>
          <w:tcPr>
            <w:tcW w:w="1602" w:type="dxa"/>
          </w:tcPr>
          <w:p w:rsidR="008C04C4" w:rsidRDefault="008C04C4" w:rsidP="000D0AF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24" w:type="dxa"/>
          </w:tcPr>
          <w:p w:rsidR="008C04C4" w:rsidRDefault="008C04C4" w:rsidP="000D0AF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610" w:type="dxa"/>
          </w:tcPr>
          <w:p w:rsidR="008C04C4" w:rsidRDefault="008C04C4" w:rsidP="000D0AF7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8C04C4" w:rsidTr="000D0AF7">
        <w:tc>
          <w:tcPr>
            <w:tcW w:w="568" w:type="dxa"/>
          </w:tcPr>
          <w:p w:rsidR="008C04C4" w:rsidRDefault="008C04C4" w:rsidP="000D0AF7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8C04C4" w:rsidRDefault="008C04C4" w:rsidP="000D0AF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Забезпечити у приміщеннях школи необхідний температурний режим.</w:t>
            </w:r>
          </w:p>
        </w:tc>
        <w:tc>
          <w:tcPr>
            <w:tcW w:w="1602" w:type="dxa"/>
          </w:tcPr>
          <w:p w:rsidR="008C04C4" w:rsidRDefault="008C04C4" w:rsidP="000D0AF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24" w:type="dxa"/>
          </w:tcPr>
          <w:p w:rsidR="008C04C4" w:rsidRDefault="008C04C4" w:rsidP="000D0AF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Заступник директора з АГР</w:t>
            </w:r>
          </w:p>
        </w:tc>
        <w:tc>
          <w:tcPr>
            <w:tcW w:w="1610" w:type="dxa"/>
          </w:tcPr>
          <w:p w:rsidR="008C04C4" w:rsidRDefault="008C04C4" w:rsidP="000D0AF7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C04C4" w:rsidRDefault="008C04C4" w:rsidP="008C04C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821D8" w:rsidRPr="009821D8" w:rsidRDefault="009821D8">
      <w:pPr>
        <w:rPr>
          <w:lang w:val="uk-UA"/>
        </w:rPr>
      </w:pPr>
      <w:bookmarkStart w:id="0" w:name="_GoBack"/>
      <w:bookmarkEnd w:id="0"/>
    </w:p>
    <w:sectPr w:rsidR="009821D8" w:rsidRPr="0098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5208"/>
    <w:multiLevelType w:val="multilevel"/>
    <w:tmpl w:val="8E04BE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E956F5"/>
    <w:multiLevelType w:val="multilevel"/>
    <w:tmpl w:val="7812D7B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2">
    <w:nsid w:val="39DC648C"/>
    <w:multiLevelType w:val="multilevel"/>
    <w:tmpl w:val="24D2F3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4A9738F9"/>
    <w:multiLevelType w:val="multilevel"/>
    <w:tmpl w:val="E22E82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9530D43"/>
    <w:multiLevelType w:val="multilevel"/>
    <w:tmpl w:val="CF0699C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5BD416F8"/>
    <w:multiLevelType w:val="multilevel"/>
    <w:tmpl w:val="D1E0F7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3E869D8"/>
    <w:multiLevelType w:val="multilevel"/>
    <w:tmpl w:val="8BC81E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AD638E5"/>
    <w:multiLevelType w:val="multilevel"/>
    <w:tmpl w:val="E48C8860"/>
    <w:lvl w:ilvl="0">
      <w:start w:val="1"/>
      <w:numFmt w:val="bullet"/>
      <w:lvlText w:val=""/>
      <w:lvlJc w:val="left"/>
      <w:pPr>
        <w:tabs>
          <w:tab w:val="num" w:pos="0"/>
        </w:tabs>
        <w:ind w:left="2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70" w:hanging="360"/>
      </w:pPr>
      <w:rPr>
        <w:rFonts w:ascii="Wingdings" w:hAnsi="Wingdings" w:cs="Wingdings" w:hint="default"/>
      </w:rPr>
    </w:lvl>
  </w:abstractNum>
  <w:abstractNum w:abstractNumId="8">
    <w:nsid w:val="7E89196C"/>
    <w:multiLevelType w:val="multilevel"/>
    <w:tmpl w:val="D248A7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E902B97"/>
    <w:multiLevelType w:val="multilevel"/>
    <w:tmpl w:val="15FCBB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BA"/>
    <w:rsid w:val="008C04C4"/>
    <w:rsid w:val="009429BA"/>
    <w:rsid w:val="009821D8"/>
    <w:rsid w:val="00C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D8"/>
    <w:pPr>
      <w:suppressAutoHyphens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1D8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99"/>
    <w:rsid w:val="008C04C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D8"/>
    <w:pPr>
      <w:suppressAutoHyphens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1D8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99"/>
    <w:rsid w:val="008C04C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2023-07-25T16:58:00Z</dcterms:created>
  <dcterms:modified xsi:type="dcterms:W3CDTF">2023-07-25T17:22:00Z</dcterms:modified>
</cp:coreProperties>
</file>